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04FB3" w14:textId="33D66DFD" w:rsidR="00816E32" w:rsidRDefault="00816E32">
      <w:bookmarkStart w:id="0" w:name="_GoBack"/>
      <w:bookmarkEnd w:id="0"/>
      <w:permStart w:id="1191317733" w:ed="Amy.Challans2@sa.gov.au"/>
      <w:permEnd w:id="1191317733"/>
    </w:p>
    <w:p w14:paraId="590812F1" w14:textId="443D5294" w:rsidR="002C5911" w:rsidRPr="00A46DB2" w:rsidRDefault="002C5911" w:rsidP="002C5911">
      <w:pPr>
        <w:pStyle w:val="Heading1"/>
        <w:spacing w:before="240"/>
        <w:rPr>
          <w:rFonts w:ascii="Arial Narrow" w:hAnsi="Arial Narrow" w:cstheme="minorHAnsi"/>
          <w:sz w:val="22"/>
          <w:szCs w:val="22"/>
        </w:rPr>
      </w:pPr>
      <w:bookmarkStart w:id="1" w:name="_Toc54171687"/>
      <w:r w:rsidRPr="00A46DB2">
        <w:t xml:space="preserve">Accessible </w:t>
      </w:r>
      <w:r>
        <w:t>C</w:t>
      </w:r>
      <w:r w:rsidRPr="00A46DB2">
        <w:t>ommunities</w:t>
      </w:r>
      <w:bookmarkEnd w:id="1"/>
      <w:r>
        <w:t xml:space="preserve"> </w:t>
      </w:r>
      <w:r w:rsidRPr="002C5911">
        <w:rPr>
          <w:i/>
          <w:iCs/>
          <w:sz w:val="20"/>
          <w:szCs w:val="20"/>
        </w:rPr>
        <w:t>(Extract from the DIAP)</w:t>
      </w:r>
    </w:p>
    <w:p w14:paraId="25CB7CBF" w14:textId="77777777" w:rsidR="002C5911" w:rsidRPr="00A46DB2" w:rsidRDefault="002C5911" w:rsidP="002C5911">
      <w:pPr>
        <w:spacing w:after="120" w:line="259" w:lineRule="auto"/>
      </w:pPr>
      <w:r w:rsidRPr="00A46DB2">
        <w:rPr>
          <w:bCs/>
        </w:rPr>
        <w:t xml:space="preserve">The accessibility of the built environment, quality services and information </w:t>
      </w:r>
      <w:proofErr w:type="gramStart"/>
      <w:r w:rsidRPr="00A46DB2">
        <w:rPr>
          <w:bCs/>
        </w:rPr>
        <w:t>is</w:t>
      </w:r>
      <w:proofErr w:type="gramEnd"/>
      <w:r w:rsidRPr="00A46DB2">
        <w:rPr>
          <w:bCs/>
        </w:rPr>
        <w:t xml:space="preserve">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0A7D7306" w14:textId="77777777" w:rsidR="002C5911" w:rsidRPr="00A46DB2" w:rsidRDefault="002C5911" w:rsidP="002C5911">
      <w:pPr>
        <w:pStyle w:val="Title"/>
      </w:pPr>
      <w:r w:rsidRPr="00A46DB2">
        <w:t>Action 1</w:t>
      </w:r>
      <w:r>
        <w:t>4 (All Agencies)</w:t>
      </w:r>
    </w:p>
    <w:p w14:paraId="09B2532C" w14:textId="77777777" w:rsidR="002C5911" w:rsidRPr="00E00DBE" w:rsidRDefault="002C5911" w:rsidP="002C5911">
      <w:pPr>
        <w:pStyle w:val="Tabletext"/>
        <w:spacing w:line="259" w:lineRule="auto"/>
        <w:rPr>
          <w:rFonts w:ascii="Arial" w:hAnsi="Arial"/>
          <w:color w:val="000000" w:themeColor="text1"/>
          <w:sz w:val="24"/>
        </w:rPr>
      </w:pPr>
      <w:r w:rsidRPr="00E00DBE">
        <w:rPr>
          <w:rFonts w:ascii="Arial" w:hAnsi="Arial"/>
          <w:color w:val="000000" w:themeColor="text1"/>
          <w:sz w:val="24"/>
        </w:rPr>
        <w:t>Fit outs that change or alter access to existing buildings</w:t>
      </w:r>
      <w:r>
        <w:rPr>
          <w:rFonts w:ascii="Arial" w:hAnsi="Arial"/>
          <w:color w:val="000000" w:themeColor="text1"/>
          <w:sz w:val="24"/>
        </w:rPr>
        <w:t xml:space="preserve"> or </w:t>
      </w:r>
      <w:r w:rsidRPr="00E00DBE">
        <w:rPr>
          <w:rFonts w:ascii="Arial" w:hAnsi="Arial"/>
          <w:color w:val="000000" w:themeColor="text1"/>
          <w:sz w:val="24"/>
        </w:rPr>
        <w:t>sites owned, operated or leased by an Agency to give due consideration to universal design and to incorporate Disability Discrimination Act requirements to ensure accessibility.</w:t>
      </w:r>
    </w:p>
    <w:p w14:paraId="192D75FC" w14:textId="77777777" w:rsidR="002C5911" w:rsidRPr="00A46DB2" w:rsidRDefault="002C5911" w:rsidP="002C5911">
      <w:pPr>
        <w:pStyle w:val="Title"/>
      </w:pPr>
      <w:r w:rsidRPr="00A46DB2">
        <w:t>Action 1</w:t>
      </w:r>
      <w:r>
        <w:t>4</w:t>
      </w:r>
      <w:r w:rsidRPr="00A46DB2">
        <w:t xml:space="preserve">: Measurable Target </w:t>
      </w:r>
    </w:p>
    <w:p w14:paraId="00140477" w14:textId="77777777" w:rsidR="002C5911" w:rsidRPr="004148A2" w:rsidRDefault="002C5911" w:rsidP="002C5911">
      <w:pPr>
        <w:spacing w:after="120"/>
        <w:rPr>
          <w:rFonts w:eastAsia="Times New Roman"/>
          <w:color w:val="000000" w:themeColor="text1"/>
        </w:rPr>
      </w:pPr>
      <w:r w:rsidRPr="004148A2">
        <w:rPr>
          <w:rFonts w:eastAsia="Times New Roman"/>
          <w:color w:val="000000" w:themeColor="text1"/>
        </w:rPr>
        <w:t xml:space="preserve">The number of existing </w:t>
      </w:r>
      <w:r w:rsidRPr="004148A2">
        <w:rPr>
          <w:color w:val="000000" w:themeColor="text1"/>
        </w:rPr>
        <w:t xml:space="preserve">buildings/sites that are </w:t>
      </w:r>
      <w:r w:rsidRPr="004148A2">
        <w:rPr>
          <w:rFonts w:eastAsia="Times New Roman"/>
          <w:color w:val="000000" w:themeColor="text1"/>
        </w:rPr>
        <w:t>accessible.</w:t>
      </w:r>
    </w:p>
    <w:p w14:paraId="1AFBFA63" w14:textId="77777777" w:rsidR="002C5911" w:rsidRPr="004148A2" w:rsidRDefault="002C5911" w:rsidP="002C5911">
      <w:pPr>
        <w:spacing w:after="120"/>
        <w:rPr>
          <w:rFonts w:eastAsia="Times New Roman"/>
          <w:color w:val="000000" w:themeColor="text1"/>
        </w:rPr>
      </w:pPr>
      <w:r w:rsidRPr="004148A2">
        <w:rPr>
          <w:rFonts w:eastAsia="Times New Roman"/>
          <w:color w:val="000000" w:themeColor="text1"/>
        </w:rPr>
        <w:t>The number of building fit outs</w:t>
      </w:r>
      <w:r>
        <w:rPr>
          <w:rFonts w:eastAsia="Times New Roman"/>
          <w:color w:val="000000" w:themeColor="text1"/>
        </w:rPr>
        <w:t xml:space="preserve"> conducted</w:t>
      </w:r>
      <w:r w:rsidRPr="004148A2">
        <w:rPr>
          <w:rFonts w:eastAsia="Times New Roman"/>
          <w:color w:val="000000" w:themeColor="text1"/>
        </w:rPr>
        <w:t>.</w:t>
      </w:r>
    </w:p>
    <w:p w14:paraId="4FC16170" w14:textId="77777777" w:rsidR="002C5911" w:rsidRPr="00A46DB2" w:rsidRDefault="002C5911" w:rsidP="002C5911">
      <w:pPr>
        <w:pStyle w:val="Title"/>
      </w:pPr>
      <w:r w:rsidRPr="00A46DB2">
        <w:t>Action 1</w:t>
      </w:r>
      <w:r>
        <w:t>5 (All Agencies)</w:t>
      </w:r>
    </w:p>
    <w:p w14:paraId="48C3D303" w14:textId="77777777" w:rsidR="002C5911" w:rsidRPr="00C957F3" w:rsidRDefault="002C5911" w:rsidP="002C5911">
      <w:pPr>
        <w:pStyle w:val="Tabletext"/>
        <w:spacing w:line="259" w:lineRule="auto"/>
        <w:rPr>
          <w:rFonts w:ascii="Arial" w:hAnsi="Arial"/>
          <w:color w:val="000000" w:themeColor="text1"/>
          <w:sz w:val="24"/>
        </w:rPr>
      </w:pPr>
      <w:r w:rsidRPr="00C957F3">
        <w:rPr>
          <w:rFonts w:ascii="Arial" w:hAnsi="Arial"/>
          <w:color w:val="000000" w:themeColor="text1"/>
          <w:sz w:val="24"/>
        </w:rPr>
        <w:t>New buildings</w:t>
      </w:r>
      <w:r>
        <w:rPr>
          <w:rFonts w:ascii="Arial" w:hAnsi="Arial"/>
          <w:color w:val="000000" w:themeColor="text1"/>
          <w:sz w:val="24"/>
        </w:rPr>
        <w:t xml:space="preserve"> or </w:t>
      </w:r>
      <w:r w:rsidRPr="00C957F3">
        <w:rPr>
          <w:rFonts w:ascii="Arial" w:hAnsi="Arial"/>
          <w:color w:val="000000" w:themeColor="text1"/>
          <w:sz w:val="24"/>
        </w:rPr>
        <w:t xml:space="preserve">sites purchased, leased or operated by an Agency to meet the required Building Code of Australia accessibility standards. </w:t>
      </w:r>
    </w:p>
    <w:p w14:paraId="1B830551" w14:textId="77777777" w:rsidR="002C5911" w:rsidRPr="00A46DB2" w:rsidRDefault="002C5911" w:rsidP="002C5911">
      <w:pPr>
        <w:pStyle w:val="Title"/>
      </w:pPr>
      <w:r w:rsidRPr="00A46DB2">
        <w:t>Action 1</w:t>
      </w:r>
      <w:r>
        <w:t>5</w:t>
      </w:r>
      <w:r w:rsidRPr="00A46DB2">
        <w:t xml:space="preserve">: Measurable Target </w:t>
      </w:r>
    </w:p>
    <w:p w14:paraId="0C6FA522" w14:textId="77777777" w:rsidR="002C5911" w:rsidRPr="002B5FCC" w:rsidRDefault="002C5911" w:rsidP="002C5911">
      <w:pPr>
        <w:spacing w:after="120" w:line="259" w:lineRule="auto"/>
        <w:rPr>
          <w:rFonts w:eastAsia="Times New Roman"/>
          <w:color w:val="000000" w:themeColor="text1"/>
        </w:rPr>
      </w:pPr>
      <w:r w:rsidRPr="002B5FCC">
        <w:rPr>
          <w:rFonts w:eastAsia="Times New Roman"/>
          <w:color w:val="000000" w:themeColor="text1"/>
        </w:rPr>
        <w:t>The number of new buildings and</w:t>
      </w:r>
      <w:r>
        <w:rPr>
          <w:rFonts w:eastAsia="Times New Roman"/>
          <w:color w:val="000000" w:themeColor="text1"/>
        </w:rPr>
        <w:t>,</w:t>
      </w:r>
      <w:r w:rsidRPr="002B5FCC">
        <w:rPr>
          <w:rFonts w:eastAsia="Times New Roman"/>
          <w:color w:val="000000" w:themeColor="text1"/>
        </w:rPr>
        <w:t xml:space="preserve"> </w:t>
      </w:r>
      <w:proofErr w:type="gramStart"/>
      <w:r w:rsidRPr="002B5FCC">
        <w:rPr>
          <w:rFonts w:eastAsia="Times New Roman"/>
          <w:color w:val="000000" w:themeColor="text1"/>
        </w:rPr>
        <w:t>o</w:t>
      </w:r>
      <w:r>
        <w:rPr>
          <w:rFonts w:eastAsia="Times New Roman"/>
          <w:color w:val="000000" w:themeColor="text1"/>
        </w:rPr>
        <w:t>r,</w:t>
      </w:r>
      <w:proofErr w:type="gramEnd"/>
      <w:r w:rsidRPr="002B5FCC">
        <w:rPr>
          <w:rFonts w:eastAsia="Times New Roman"/>
          <w:color w:val="000000" w:themeColor="text1"/>
        </w:rPr>
        <w:t xml:space="preserve"> sites that meet these standards.</w:t>
      </w:r>
    </w:p>
    <w:p w14:paraId="321EBF60" w14:textId="77777777" w:rsidR="002C5911" w:rsidRPr="00A46DB2" w:rsidRDefault="002C5911" w:rsidP="002C5911">
      <w:pPr>
        <w:pStyle w:val="Title"/>
      </w:pPr>
      <w:r w:rsidRPr="00A46DB2">
        <w:t>Action 1</w:t>
      </w:r>
      <w:r>
        <w:t>6 (All Agencies)</w:t>
      </w:r>
    </w:p>
    <w:p w14:paraId="60A09E4A" w14:textId="77777777" w:rsidR="002C5911" w:rsidRPr="00A46DB2" w:rsidRDefault="002C5911" w:rsidP="002C5911">
      <w:pPr>
        <w:pStyle w:val="Tabletext"/>
        <w:spacing w:line="259" w:lineRule="auto"/>
        <w:rPr>
          <w:rFonts w:ascii="Arial" w:hAnsi="Arial"/>
          <w:sz w:val="24"/>
        </w:rPr>
      </w:pPr>
      <w:r w:rsidRPr="00A46DB2">
        <w:rPr>
          <w:rFonts w:ascii="Arial" w:hAnsi="Arial"/>
          <w:sz w:val="24"/>
        </w:rPr>
        <w:t xml:space="preserve">Inclusion in building, infrastructure, maintenance and upgrade schedules </w:t>
      </w:r>
      <w:r>
        <w:rPr>
          <w:rFonts w:ascii="Arial" w:hAnsi="Arial"/>
          <w:sz w:val="24"/>
        </w:rPr>
        <w:t xml:space="preserve">to include </w:t>
      </w:r>
      <w:r w:rsidRPr="00A46DB2">
        <w:rPr>
          <w:rFonts w:ascii="Arial" w:hAnsi="Arial"/>
          <w:sz w:val="24"/>
        </w:rPr>
        <w:t>the installation of appropriate signage at Agency owned, operated or leased buildings</w:t>
      </w:r>
      <w:r>
        <w:rPr>
          <w:rFonts w:ascii="Arial" w:hAnsi="Arial"/>
          <w:sz w:val="24"/>
        </w:rPr>
        <w:t xml:space="preserve"> or </w:t>
      </w:r>
      <w:r w:rsidRPr="00A46DB2">
        <w:rPr>
          <w:rFonts w:ascii="Arial" w:hAnsi="Arial"/>
          <w:sz w:val="24"/>
        </w:rPr>
        <w:t xml:space="preserve">sites indicating disability access such as parking. </w:t>
      </w:r>
    </w:p>
    <w:p w14:paraId="0CE5639D" w14:textId="77777777" w:rsidR="002C5911" w:rsidRPr="00A46DB2" w:rsidRDefault="002C5911" w:rsidP="002C5911">
      <w:pPr>
        <w:pStyle w:val="Title"/>
      </w:pPr>
      <w:r w:rsidRPr="00A46DB2">
        <w:t>Action 1</w:t>
      </w:r>
      <w:r>
        <w:t>6</w:t>
      </w:r>
      <w:r w:rsidRPr="00A46DB2">
        <w:t xml:space="preserve">: Measurable Target </w:t>
      </w:r>
    </w:p>
    <w:p w14:paraId="572B32A2" w14:textId="77777777" w:rsidR="002C5911" w:rsidRPr="00A46DB2" w:rsidRDefault="002C5911" w:rsidP="002C5911">
      <w:pPr>
        <w:spacing w:after="120" w:line="259" w:lineRule="auto"/>
        <w:rPr>
          <w:rFonts w:eastAsia="Times New Roman"/>
        </w:rPr>
      </w:pPr>
      <w:r w:rsidRPr="00A46DB2">
        <w:rPr>
          <w:rFonts w:eastAsia="Times New Roman"/>
        </w:rPr>
        <w:t xml:space="preserve">The number of signage installations included in Agency </w:t>
      </w:r>
      <w:r w:rsidRPr="00A46DB2">
        <w:t>building, infrastructure, maintenance and upgrade schedules</w:t>
      </w:r>
      <w:r w:rsidRPr="00A46DB2">
        <w:rPr>
          <w:rFonts w:eastAsia="Times New Roman"/>
        </w:rPr>
        <w:t>.</w:t>
      </w:r>
    </w:p>
    <w:p w14:paraId="2F425E53" w14:textId="77777777" w:rsidR="002C5911" w:rsidRPr="00A46DB2" w:rsidRDefault="002C5911" w:rsidP="002C5911">
      <w:pPr>
        <w:pStyle w:val="Title"/>
      </w:pPr>
      <w:r w:rsidRPr="00A46DB2">
        <w:t>Action 1</w:t>
      </w:r>
      <w:r>
        <w:t>7 (All Agencies)</w:t>
      </w:r>
    </w:p>
    <w:p w14:paraId="20295817" w14:textId="3D969847" w:rsidR="002C5911" w:rsidRDefault="002C5911" w:rsidP="002C5911">
      <w:pPr>
        <w:pStyle w:val="Tabletext"/>
        <w:spacing w:line="259" w:lineRule="auto"/>
        <w:rPr>
          <w:rFonts w:ascii="Arial" w:hAnsi="Arial"/>
          <w:sz w:val="24"/>
        </w:rPr>
      </w:pPr>
      <w:r w:rsidRPr="00A46DB2">
        <w:rPr>
          <w:rFonts w:ascii="Arial" w:hAnsi="Arial"/>
          <w:sz w:val="24"/>
        </w:rPr>
        <w:t>Agency evacuation procedures, emergency plans and associated</w:t>
      </w:r>
      <w:r>
        <w:rPr>
          <w:rFonts w:ascii="Arial" w:hAnsi="Arial"/>
          <w:sz w:val="24"/>
        </w:rPr>
        <w:t xml:space="preserve"> building evacuation</w:t>
      </w:r>
      <w:r w:rsidRPr="00A46DB2">
        <w:rPr>
          <w:rFonts w:ascii="Arial" w:hAnsi="Arial"/>
          <w:sz w:val="24"/>
        </w:rPr>
        <w:t xml:space="preserve"> training to be reviewed to ensure the requirements of people with a range of abilities are adequately addressed.</w:t>
      </w:r>
    </w:p>
    <w:p w14:paraId="555CBDCC" w14:textId="77777777" w:rsidR="002C5911" w:rsidRPr="00A46DB2" w:rsidRDefault="002C5911" w:rsidP="002C5911">
      <w:pPr>
        <w:pStyle w:val="Tabletext"/>
        <w:spacing w:line="259" w:lineRule="auto"/>
        <w:rPr>
          <w:rFonts w:ascii="Arial" w:hAnsi="Arial"/>
          <w:sz w:val="24"/>
        </w:rPr>
      </w:pPr>
    </w:p>
    <w:p w14:paraId="6D253E33" w14:textId="77777777" w:rsidR="002C5911" w:rsidRPr="00A46DB2" w:rsidRDefault="002C5911" w:rsidP="002C5911">
      <w:pPr>
        <w:pStyle w:val="Title"/>
      </w:pPr>
      <w:r w:rsidRPr="00A46DB2">
        <w:lastRenderedPageBreak/>
        <w:t>Action 1</w:t>
      </w:r>
      <w:r>
        <w:t>7</w:t>
      </w:r>
      <w:r w:rsidRPr="00A46DB2">
        <w:t xml:space="preserve">: Measurable Target </w:t>
      </w:r>
    </w:p>
    <w:p w14:paraId="48D00E2F" w14:textId="77777777" w:rsidR="002C5911" w:rsidRPr="008406D1" w:rsidRDefault="002C5911" w:rsidP="002C5911">
      <w:pPr>
        <w:pStyle w:val="ListParagraph"/>
        <w:spacing w:line="259" w:lineRule="auto"/>
        <w:ind w:left="0"/>
        <w:rPr>
          <w:rFonts w:eastAsia="Times New Roman"/>
        </w:rPr>
      </w:pPr>
      <w:r w:rsidRPr="008406D1">
        <w:rPr>
          <w:rFonts w:eastAsia="Times New Roman"/>
        </w:rPr>
        <w:t>The number of Agency emergency plans updated.</w:t>
      </w:r>
    </w:p>
    <w:p w14:paraId="1A915019" w14:textId="49E9AAD4" w:rsidR="002C5911" w:rsidRPr="002C5911" w:rsidRDefault="002C5911" w:rsidP="002C5911">
      <w:pPr>
        <w:spacing w:after="120"/>
        <w:rPr>
          <w:rFonts w:eastAsiaTheme="majorEastAsia" w:cstheme="majorBidi"/>
          <w:b/>
          <w:spacing w:val="-10"/>
          <w:kern w:val="28"/>
          <w:sz w:val="28"/>
          <w:szCs w:val="56"/>
        </w:rPr>
      </w:pPr>
      <w:r w:rsidRPr="00A46DB2">
        <w:t>Action 1</w:t>
      </w:r>
      <w:r>
        <w:t>8 (All Agencies)</w:t>
      </w:r>
    </w:p>
    <w:p w14:paraId="53BA9FEE" w14:textId="77777777" w:rsidR="002C5911" w:rsidRPr="00861DC9" w:rsidRDefault="002C5911" w:rsidP="002C5911">
      <w:pPr>
        <w:pStyle w:val="Tabletext"/>
        <w:spacing w:line="259" w:lineRule="auto"/>
        <w:rPr>
          <w:rFonts w:ascii="Arial" w:hAnsi="Arial"/>
          <w:sz w:val="24"/>
        </w:rPr>
      </w:pPr>
      <w:r w:rsidRPr="00861DC9">
        <w:rPr>
          <w:rFonts w:ascii="Arial" w:hAnsi="Arial"/>
          <w:sz w:val="24"/>
        </w:rPr>
        <w:t>The development and implementation of a clearly defined process to ensure that requests to access information in alternate formats are met in a timely manner.</w:t>
      </w:r>
    </w:p>
    <w:p w14:paraId="399646ED" w14:textId="77777777" w:rsidR="002C5911" w:rsidRPr="00A46DB2" w:rsidRDefault="002C5911" w:rsidP="002C5911">
      <w:pPr>
        <w:pStyle w:val="Title"/>
      </w:pPr>
      <w:r w:rsidRPr="00A46DB2">
        <w:t>Action 1</w:t>
      </w:r>
      <w:r>
        <w:t>8</w:t>
      </w:r>
      <w:r w:rsidRPr="00A46DB2">
        <w:t xml:space="preserve">: Measurable Target </w:t>
      </w:r>
    </w:p>
    <w:p w14:paraId="552BC74A" w14:textId="77777777" w:rsidR="002C5911" w:rsidRPr="0095180F" w:rsidRDefault="002C5911" w:rsidP="002C5911">
      <w:pPr>
        <w:pStyle w:val="Tablereflist"/>
        <w:numPr>
          <w:ilvl w:val="0"/>
          <w:numId w:val="0"/>
        </w:numPr>
        <w:spacing w:before="240" w:after="240" w:line="259" w:lineRule="auto"/>
        <w:contextualSpacing w:val="0"/>
        <w:rPr>
          <w:rFonts w:ascii="Arial" w:hAnsi="Arial"/>
          <w:sz w:val="24"/>
        </w:rPr>
      </w:pPr>
      <w:r w:rsidRPr="0095180F">
        <w:rPr>
          <w:rFonts w:ascii="Arial" w:hAnsi="Arial"/>
          <w:sz w:val="24"/>
        </w:rPr>
        <w:t>Systems are in place to provide materials in alternate formats in a timely manner.</w:t>
      </w:r>
    </w:p>
    <w:p w14:paraId="0B894FE2" w14:textId="77777777" w:rsidR="002C5911" w:rsidRPr="004215F8" w:rsidRDefault="002C5911" w:rsidP="002C5911">
      <w:pPr>
        <w:pStyle w:val="ListParagraph"/>
        <w:spacing w:before="100" w:after="100" w:line="259" w:lineRule="auto"/>
        <w:ind w:left="0"/>
        <w:contextualSpacing w:val="0"/>
        <w:rPr>
          <w:rFonts w:eastAsia="Times New Roman"/>
        </w:rPr>
      </w:pPr>
      <w:r w:rsidRPr="004215F8">
        <w:rPr>
          <w:rFonts w:eastAsia="Times New Roman"/>
        </w:rPr>
        <w:t>The number of requests met to provide information in alternate formats.</w:t>
      </w:r>
    </w:p>
    <w:p w14:paraId="2DCA3717" w14:textId="77777777" w:rsidR="002C5911" w:rsidRPr="00A46DB2" w:rsidRDefault="002C5911" w:rsidP="002C5911">
      <w:pPr>
        <w:pStyle w:val="Title"/>
      </w:pPr>
      <w:r w:rsidRPr="00A46DB2">
        <w:t>Action 1</w:t>
      </w:r>
      <w:r>
        <w:t>9 (SAFECOM)</w:t>
      </w:r>
    </w:p>
    <w:p w14:paraId="41B04AB7" w14:textId="77777777" w:rsidR="002C5911" w:rsidRPr="001A09D6" w:rsidRDefault="002C5911" w:rsidP="002C5911">
      <w:pPr>
        <w:spacing w:after="120" w:line="259" w:lineRule="auto"/>
        <w:rPr>
          <w:rFonts w:eastAsia="Times New Roman"/>
        </w:rPr>
      </w:pPr>
      <w:r w:rsidRPr="001A09D6">
        <w:t xml:space="preserve">Information and </w:t>
      </w:r>
      <w:r w:rsidRPr="001A09D6">
        <w:rPr>
          <w:rFonts w:eastAsia="Times New Roman"/>
        </w:rPr>
        <w:t>published materials</w:t>
      </w:r>
      <w:r w:rsidRPr="001A09D6">
        <w:t xml:space="preserve"> relating to the </w:t>
      </w:r>
      <w:r>
        <w:t xml:space="preserve">Sector’s </w:t>
      </w:r>
      <w:r w:rsidRPr="001A09D6">
        <w:t>Employee Assistance Program and S</w:t>
      </w:r>
      <w:r>
        <w:t>tress Prevention and Management</w:t>
      </w:r>
      <w:r w:rsidRPr="001A09D6">
        <w:t xml:space="preserve"> programs to be reviewed for accessibility and made available in a format that is accessible to employees and volunteers </w:t>
      </w:r>
      <w:r>
        <w:t xml:space="preserve">living </w:t>
      </w:r>
      <w:r w:rsidRPr="001A09D6">
        <w:t>with disability subject to funding.</w:t>
      </w:r>
    </w:p>
    <w:p w14:paraId="232F34C2" w14:textId="77777777" w:rsidR="002C5911" w:rsidRPr="00A46DB2" w:rsidRDefault="002C5911" w:rsidP="002C5911">
      <w:pPr>
        <w:pStyle w:val="Title"/>
      </w:pPr>
      <w:r w:rsidRPr="00A46DB2">
        <w:t>Action 1</w:t>
      </w:r>
      <w:r>
        <w:t>9</w:t>
      </w:r>
      <w:r w:rsidRPr="00A46DB2">
        <w:t xml:space="preserve">: Measurable Target </w:t>
      </w:r>
    </w:p>
    <w:p w14:paraId="6507CDFE" w14:textId="77777777" w:rsidR="002C5911" w:rsidRPr="0019014F" w:rsidRDefault="002C5911" w:rsidP="002C5911">
      <w:pPr>
        <w:pStyle w:val="ListParagraph"/>
        <w:spacing w:before="100" w:after="100" w:line="259" w:lineRule="auto"/>
        <w:ind w:left="0"/>
        <w:contextualSpacing w:val="0"/>
        <w:rPr>
          <w:rFonts w:eastAsia="Times New Roman"/>
        </w:rPr>
      </w:pPr>
      <w:r w:rsidRPr="0019014F">
        <w:rPr>
          <w:rFonts w:eastAsia="Times New Roman"/>
        </w:rPr>
        <w:t>Information and materials are published in a</w:t>
      </w:r>
      <w:r>
        <w:rPr>
          <w:rFonts w:eastAsia="Times New Roman"/>
        </w:rPr>
        <w:t>n accessible</w:t>
      </w:r>
      <w:r w:rsidRPr="0019014F">
        <w:rPr>
          <w:rFonts w:eastAsia="Times New Roman"/>
        </w:rPr>
        <w:t xml:space="preserve"> format. </w:t>
      </w:r>
    </w:p>
    <w:p w14:paraId="7776691B" w14:textId="77777777" w:rsidR="002C5911" w:rsidRPr="0019014F" w:rsidRDefault="002C5911" w:rsidP="002C5911">
      <w:pPr>
        <w:pStyle w:val="ListParagraph"/>
        <w:spacing w:before="100" w:after="100" w:line="259" w:lineRule="auto"/>
        <w:ind w:left="0"/>
        <w:contextualSpacing w:val="0"/>
        <w:rPr>
          <w:rFonts w:eastAsia="Times New Roman"/>
        </w:rPr>
      </w:pPr>
      <w:r w:rsidRPr="0019014F">
        <w:rPr>
          <w:rFonts w:eastAsia="Times New Roman"/>
        </w:rPr>
        <w:t>The number of employees and volunteers living with disability accessing these programs.</w:t>
      </w:r>
    </w:p>
    <w:p w14:paraId="14AB16DD" w14:textId="77777777" w:rsidR="002C5911" w:rsidRPr="00A46DB2" w:rsidRDefault="002C5911" w:rsidP="002C5911">
      <w:pPr>
        <w:pStyle w:val="Title"/>
      </w:pPr>
      <w:r w:rsidRPr="00A46DB2">
        <w:t xml:space="preserve">Action </w:t>
      </w:r>
      <w:r>
        <w:t>20 (All Agencies)</w:t>
      </w:r>
    </w:p>
    <w:p w14:paraId="0298DF0D" w14:textId="77777777" w:rsidR="002C5911" w:rsidRPr="00DA29CD" w:rsidRDefault="002C5911" w:rsidP="002C5911">
      <w:pPr>
        <w:pStyle w:val="Tabletext"/>
        <w:spacing w:line="259" w:lineRule="auto"/>
        <w:rPr>
          <w:rFonts w:ascii="Arial" w:hAnsi="Arial"/>
          <w:sz w:val="24"/>
        </w:rPr>
      </w:pPr>
      <w:r w:rsidRPr="00DA29CD">
        <w:rPr>
          <w:rFonts w:ascii="Arial" w:hAnsi="Arial"/>
          <w:sz w:val="24"/>
        </w:rPr>
        <w:t>Agency websites and intranets are assessed against Web Content Accessibility Guidelines (WCAG) Standard 2.1.</w:t>
      </w:r>
    </w:p>
    <w:p w14:paraId="3DB1A321" w14:textId="77777777" w:rsidR="002C5911" w:rsidRPr="00A46DB2" w:rsidRDefault="002C5911" w:rsidP="002C5911">
      <w:pPr>
        <w:pStyle w:val="Title"/>
      </w:pPr>
      <w:r w:rsidRPr="00A46DB2">
        <w:t xml:space="preserve">Action </w:t>
      </w:r>
      <w:r>
        <w:t>20</w:t>
      </w:r>
      <w:r w:rsidRPr="00A46DB2">
        <w:t xml:space="preserve">: Measurable Target </w:t>
      </w:r>
    </w:p>
    <w:p w14:paraId="62CC05AD" w14:textId="77777777" w:rsidR="002C5911" w:rsidRPr="00215D8D" w:rsidRDefault="002C5911" w:rsidP="002C5911">
      <w:pPr>
        <w:pStyle w:val="Tablereflist"/>
        <w:numPr>
          <w:ilvl w:val="0"/>
          <w:numId w:val="0"/>
        </w:numPr>
        <w:spacing w:before="240" w:after="240"/>
        <w:contextualSpacing w:val="0"/>
        <w:rPr>
          <w:rFonts w:ascii="Arial" w:hAnsi="Arial"/>
          <w:bCs/>
          <w:sz w:val="24"/>
        </w:rPr>
      </w:pPr>
      <w:r w:rsidRPr="00215D8D">
        <w:rPr>
          <w:rFonts w:ascii="Arial" w:hAnsi="Arial"/>
          <w:bCs/>
          <w:sz w:val="24"/>
        </w:rPr>
        <w:t>Accessibility and compliance with Level A determined.</w:t>
      </w:r>
    </w:p>
    <w:p w14:paraId="4802A2C7" w14:textId="77777777" w:rsidR="002C5911" w:rsidRPr="00215D8D" w:rsidRDefault="002C5911" w:rsidP="002C5911">
      <w:pPr>
        <w:pStyle w:val="Tablereflist"/>
        <w:numPr>
          <w:ilvl w:val="0"/>
          <w:numId w:val="0"/>
        </w:numPr>
        <w:spacing w:before="240" w:after="240"/>
        <w:contextualSpacing w:val="0"/>
        <w:rPr>
          <w:rFonts w:ascii="Arial" w:hAnsi="Arial"/>
          <w:bCs/>
          <w:sz w:val="24"/>
        </w:rPr>
      </w:pPr>
      <w:r w:rsidRPr="00215D8D">
        <w:rPr>
          <w:rFonts w:ascii="Arial" w:hAnsi="Arial"/>
          <w:bCs/>
          <w:sz w:val="24"/>
        </w:rPr>
        <w:t>Accessibility and compliance with Level AA determined.</w:t>
      </w:r>
    </w:p>
    <w:p w14:paraId="282B7979" w14:textId="77777777" w:rsidR="002C5911" w:rsidRPr="00A46DB2" w:rsidRDefault="002C5911" w:rsidP="002C5911">
      <w:pPr>
        <w:pStyle w:val="Title"/>
      </w:pPr>
      <w:r w:rsidRPr="00A46DB2">
        <w:t>Action 2</w:t>
      </w:r>
      <w:r>
        <w:t>1 (All Agencies)</w:t>
      </w:r>
    </w:p>
    <w:p w14:paraId="26DFCDE2" w14:textId="77777777" w:rsidR="002C5911" w:rsidRPr="00D91809" w:rsidRDefault="002C5911" w:rsidP="002C5911">
      <w:pPr>
        <w:pStyle w:val="Tabletext"/>
        <w:rPr>
          <w:rFonts w:ascii="Arial" w:hAnsi="Arial"/>
          <w:sz w:val="24"/>
        </w:rPr>
      </w:pPr>
      <w:r w:rsidRPr="00D91809">
        <w:rPr>
          <w:rFonts w:ascii="Arial" w:hAnsi="Arial"/>
          <w:sz w:val="24"/>
        </w:rPr>
        <w:t>The development of a</w:t>
      </w:r>
      <w:r>
        <w:rPr>
          <w:rFonts w:ascii="Arial" w:hAnsi="Arial"/>
          <w:sz w:val="24"/>
        </w:rPr>
        <w:t xml:space="preserve"> Sector </w:t>
      </w:r>
      <w:r w:rsidRPr="00D91809">
        <w:rPr>
          <w:rFonts w:ascii="Arial" w:hAnsi="Arial"/>
          <w:sz w:val="24"/>
        </w:rPr>
        <w:t xml:space="preserve">online accessibility policy to guide the accessibility of information contained on all Agency websites (external and intranet). </w:t>
      </w:r>
    </w:p>
    <w:p w14:paraId="72EA100B" w14:textId="77777777" w:rsidR="002C5911" w:rsidRPr="00A46DB2" w:rsidRDefault="002C5911" w:rsidP="002C5911">
      <w:pPr>
        <w:pStyle w:val="Title"/>
      </w:pPr>
      <w:r w:rsidRPr="00A46DB2">
        <w:t>Action 2</w:t>
      </w:r>
      <w:r>
        <w:t>1</w:t>
      </w:r>
      <w:r w:rsidRPr="00A46DB2">
        <w:t xml:space="preserve">: Measurable Target </w:t>
      </w:r>
    </w:p>
    <w:p w14:paraId="18767800" w14:textId="77777777" w:rsidR="002C5911" w:rsidRPr="006C22CA" w:rsidRDefault="002C5911" w:rsidP="002C5911">
      <w:pPr>
        <w:pStyle w:val="Tablereflist"/>
        <w:numPr>
          <w:ilvl w:val="0"/>
          <w:numId w:val="0"/>
        </w:numPr>
        <w:rPr>
          <w:rFonts w:ascii="Arial" w:hAnsi="Arial"/>
          <w:bCs/>
          <w:sz w:val="24"/>
        </w:rPr>
      </w:pPr>
      <w:r w:rsidRPr="006C22CA">
        <w:rPr>
          <w:rFonts w:ascii="Arial" w:hAnsi="Arial"/>
          <w:bCs/>
          <w:sz w:val="24"/>
        </w:rPr>
        <w:t>The</w:t>
      </w:r>
      <w:r w:rsidRPr="006C22CA">
        <w:rPr>
          <w:rFonts w:ascii="Arial" w:hAnsi="Arial"/>
          <w:b/>
          <w:bCs/>
          <w:sz w:val="24"/>
        </w:rPr>
        <w:t xml:space="preserve"> </w:t>
      </w:r>
      <w:r w:rsidRPr="006C22CA">
        <w:rPr>
          <w:rFonts w:ascii="Arial" w:hAnsi="Arial"/>
          <w:bCs/>
          <w:sz w:val="24"/>
        </w:rPr>
        <w:t>development and promotion of a</w:t>
      </w:r>
      <w:r>
        <w:rPr>
          <w:rFonts w:ascii="Arial" w:hAnsi="Arial"/>
          <w:bCs/>
          <w:sz w:val="24"/>
        </w:rPr>
        <w:t xml:space="preserve"> Sector </w:t>
      </w:r>
      <w:r w:rsidRPr="006C22CA">
        <w:rPr>
          <w:rFonts w:ascii="Arial" w:hAnsi="Arial"/>
          <w:bCs/>
          <w:sz w:val="24"/>
        </w:rPr>
        <w:t>online accessibility policy.</w:t>
      </w:r>
    </w:p>
    <w:p w14:paraId="13E6512C" w14:textId="77777777" w:rsidR="002C5911" w:rsidRPr="00A46DB2" w:rsidRDefault="002C5911" w:rsidP="002C5911">
      <w:pPr>
        <w:pStyle w:val="Title"/>
      </w:pPr>
      <w:r w:rsidRPr="00A46DB2">
        <w:t>Action 2</w:t>
      </w:r>
      <w:r>
        <w:t>2 (All Agencies)</w:t>
      </w:r>
    </w:p>
    <w:p w14:paraId="05C4CF2B" w14:textId="77777777" w:rsidR="002C5911" w:rsidRDefault="002C5911" w:rsidP="002C5911">
      <w:pPr>
        <w:pStyle w:val="Tabletext"/>
        <w:rPr>
          <w:rFonts w:ascii="Arial" w:hAnsi="Arial"/>
          <w:color w:val="000000"/>
          <w:sz w:val="24"/>
        </w:rPr>
      </w:pPr>
      <w:r w:rsidRPr="00013C7A">
        <w:rPr>
          <w:rFonts w:ascii="Arial" w:hAnsi="Arial"/>
          <w:color w:val="000000"/>
          <w:sz w:val="24"/>
        </w:rPr>
        <w:lastRenderedPageBreak/>
        <w:t xml:space="preserve">Determine the feasibility of adopting the Website Design System that is offered to all South Australian Government </w:t>
      </w:r>
      <w:r>
        <w:rPr>
          <w:rFonts w:ascii="Arial" w:hAnsi="Arial"/>
          <w:color w:val="000000"/>
          <w:sz w:val="24"/>
        </w:rPr>
        <w:t>A</w:t>
      </w:r>
      <w:r w:rsidRPr="00013C7A">
        <w:rPr>
          <w:rFonts w:ascii="Arial" w:hAnsi="Arial"/>
          <w:color w:val="000000"/>
          <w:sz w:val="24"/>
        </w:rPr>
        <w:t>gencies as an accessible website solution through the Office for Digital Government</w:t>
      </w:r>
      <w:r>
        <w:rPr>
          <w:rFonts w:ascii="Arial" w:hAnsi="Arial"/>
          <w:color w:val="000000"/>
          <w:sz w:val="24"/>
        </w:rPr>
        <w:t>.</w:t>
      </w:r>
    </w:p>
    <w:p w14:paraId="6A4C515A" w14:textId="77777777" w:rsidR="002C5911" w:rsidRDefault="002C5911" w:rsidP="002C5911">
      <w:pPr>
        <w:pStyle w:val="Tabletext"/>
        <w:rPr>
          <w:rFonts w:ascii="Arial" w:hAnsi="Arial"/>
          <w:color w:val="000000"/>
          <w:sz w:val="24"/>
        </w:rPr>
      </w:pPr>
    </w:p>
    <w:p w14:paraId="0CD9D466" w14:textId="77777777" w:rsidR="002C5911" w:rsidRDefault="002C5911" w:rsidP="002C5911">
      <w:pPr>
        <w:pStyle w:val="Tabletext"/>
        <w:rPr>
          <w:rFonts w:ascii="Arial" w:hAnsi="Arial"/>
          <w:color w:val="000000"/>
          <w:sz w:val="24"/>
        </w:rPr>
      </w:pPr>
      <w:r>
        <w:rPr>
          <w:rFonts w:ascii="Arial" w:hAnsi="Arial"/>
          <w:color w:val="000000"/>
          <w:sz w:val="24"/>
        </w:rPr>
        <w:t>O</w:t>
      </w:r>
      <w:r w:rsidRPr="00013C7A">
        <w:rPr>
          <w:rFonts w:ascii="Arial" w:hAnsi="Arial"/>
          <w:color w:val="000000"/>
          <w:sz w:val="24"/>
        </w:rPr>
        <w:t xml:space="preserve">r </w:t>
      </w:r>
    </w:p>
    <w:p w14:paraId="1BB5F358" w14:textId="77777777" w:rsidR="002C5911" w:rsidRDefault="002C5911" w:rsidP="002C5911">
      <w:pPr>
        <w:pStyle w:val="Tabletext"/>
        <w:rPr>
          <w:rFonts w:ascii="Arial" w:hAnsi="Arial"/>
          <w:color w:val="000000"/>
          <w:sz w:val="24"/>
        </w:rPr>
      </w:pPr>
    </w:p>
    <w:p w14:paraId="2E4549D7" w14:textId="77777777" w:rsidR="002C5911" w:rsidRPr="00013C7A" w:rsidRDefault="002C5911" w:rsidP="002C5911">
      <w:pPr>
        <w:pStyle w:val="Tabletext"/>
        <w:rPr>
          <w:rFonts w:ascii="Arial" w:hAnsi="Arial"/>
          <w:color w:val="000000"/>
          <w:sz w:val="24"/>
        </w:rPr>
      </w:pPr>
      <w:r>
        <w:rPr>
          <w:rFonts w:ascii="Arial" w:hAnsi="Arial"/>
          <w:color w:val="000000"/>
          <w:sz w:val="24"/>
        </w:rPr>
        <w:t>U</w:t>
      </w:r>
      <w:r w:rsidRPr="00013C7A">
        <w:rPr>
          <w:rFonts w:ascii="Arial" w:hAnsi="Arial"/>
          <w:color w:val="000000"/>
          <w:sz w:val="24"/>
        </w:rPr>
        <w:t xml:space="preserve">pdate templates in existing content management systems. </w:t>
      </w:r>
    </w:p>
    <w:p w14:paraId="332E92E6" w14:textId="77777777" w:rsidR="002C5911" w:rsidRPr="00A46DB2" w:rsidRDefault="002C5911" w:rsidP="002C5911">
      <w:pPr>
        <w:pStyle w:val="Title"/>
      </w:pPr>
      <w:r w:rsidRPr="00A46DB2">
        <w:t>Action 2</w:t>
      </w:r>
      <w:r>
        <w:t>2</w:t>
      </w:r>
      <w:r w:rsidRPr="00A46DB2">
        <w:t xml:space="preserve">: Measurable Target </w:t>
      </w:r>
    </w:p>
    <w:p w14:paraId="1CC65A92" w14:textId="77777777" w:rsidR="002C5911" w:rsidRPr="00A90F5E" w:rsidRDefault="002C5911" w:rsidP="002C5911">
      <w:pPr>
        <w:pStyle w:val="Tablereflist"/>
        <w:numPr>
          <w:ilvl w:val="0"/>
          <w:numId w:val="0"/>
        </w:numPr>
        <w:rPr>
          <w:rFonts w:ascii="Arial" w:hAnsi="Arial"/>
          <w:color w:val="000000"/>
          <w:sz w:val="24"/>
        </w:rPr>
      </w:pPr>
      <w:r w:rsidRPr="00A90F5E">
        <w:rPr>
          <w:rFonts w:ascii="Arial" w:hAnsi="Arial"/>
          <w:bCs/>
          <w:sz w:val="24"/>
        </w:rPr>
        <w:t xml:space="preserve">Discussions held with the </w:t>
      </w:r>
      <w:r w:rsidRPr="00A90F5E">
        <w:rPr>
          <w:rFonts w:ascii="Arial" w:hAnsi="Arial"/>
          <w:color w:val="000000"/>
          <w:sz w:val="24"/>
        </w:rPr>
        <w:t>Office for Digital Government</w:t>
      </w:r>
      <w:r w:rsidRPr="00A90F5E">
        <w:rPr>
          <w:rFonts w:ascii="Arial" w:hAnsi="Arial"/>
          <w:bCs/>
          <w:sz w:val="24"/>
        </w:rPr>
        <w:t xml:space="preserve"> and an approach established relating to the adoption of the </w:t>
      </w:r>
      <w:r w:rsidRPr="00A90F5E">
        <w:rPr>
          <w:rFonts w:ascii="Arial" w:hAnsi="Arial"/>
          <w:color w:val="000000"/>
          <w:sz w:val="24"/>
        </w:rPr>
        <w:t xml:space="preserve">Website Design System. </w:t>
      </w:r>
    </w:p>
    <w:p w14:paraId="008D64CA" w14:textId="77777777" w:rsidR="002C5911" w:rsidRPr="00A90F5E" w:rsidRDefault="002C5911" w:rsidP="002C5911">
      <w:pPr>
        <w:pStyle w:val="Tablereflist"/>
        <w:numPr>
          <w:ilvl w:val="0"/>
          <w:numId w:val="0"/>
        </w:numPr>
        <w:rPr>
          <w:rFonts w:ascii="Arial" w:hAnsi="Arial"/>
          <w:color w:val="000000"/>
          <w:sz w:val="24"/>
        </w:rPr>
      </w:pPr>
    </w:p>
    <w:p w14:paraId="4B605360" w14:textId="77777777" w:rsidR="002C5911" w:rsidRPr="00A90F5E" w:rsidRDefault="002C5911" w:rsidP="002C5911">
      <w:pPr>
        <w:pStyle w:val="Tablereflist"/>
        <w:numPr>
          <w:ilvl w:val="0"/>
          <w:numId w:val="0"/>
        </w:numPr>
        <w:rPr>
          <w:rFonts w:ascii="Arial" w:hAnsi="Arial"/>
          <w:bCs/>
          <w:sz w:val="24"/>
        </w:rPr>
      </w:pPr>
      <w:r w:rsidRPr="00A90F5E">
        <w:rPr>
          <w:rFonts w:ascii="Arial" w:hAnsi="Arial"/>
          <w:color w:val="000000"/>
          <w:sz w:val="24"/>
        </w:rPr>
        <w:t>Or</w:t>
      </w:r>
    </w:p>
    <w:p w14:paraId="496B7A58" w14:textId="77777777" w:rsidR="002C5911" w:rsidRPr="00A90F5E" w:rsidRDefault="002C5911" w:rsidP="002C5911">
      <w:pPr>
        <w:pStyle w:val="ListParagraph"/>
        <w:ind w:left="0"/>
        <w:rPr>
          <w:rFonts w:eastAsia="Times New Roman"/>
        </w:rPr>
      </w:pPr>
    </w:p>
    <w:p w14:paraId="3B41598F" w14:textId="77777777" w:rsidR="002C5911" w:rsidRPr="00A90F5E" w:rsidRDefault="002C5911" w:rsidP="002C5911">
      <w:pPr>
        <w:pStyle w:val="Tablereflist"/>
        <w:numPr>
          <w:ilvl w:val="0"/>
          <w:numId w:val="0"/>
        </w:numPr>
        <w:spacing w:line="259" w:lineRule="auto"/>
        <w:rPr>
          <w:rFonts w:ascii="Arial" w:hAnsi="Arial"/>
          <w:bCs/>
          <w:sz w:val="24"/>
        </w:rPr>
      </w:pPr>
      <w:r>
        <w:rPr>
          <w:rFonts w:ascii="Arial" w:hAnsi="Arial"/>
          <w:sz w:val="24"/>
        </w:rPr>
        <w:t>The i</w:t>
      </w:r>
      <w:r w:rsidRPr="00A90F5E">
        <w:rPr>
          <w:rFonts w:ascii="Arial" w:hAnsi="Arial"/>
          <w:sz w:val="24"/>
        </w:rPr>
        <w:t>dentification of template upgrades.</w:t>
      </w:r>
    </w:p>
    <w:p w14:paraId="5515A9C0" w14:textId="77777777" w:rsidR="002C5911" w:rsidRPr="00A46DB2" w:rsidRDefault="002C5911" w:rsidP="002C5911">
      <w:pPr>
        <w:pStyle w:val="Title"/>
      </w:pPr>
      <w:r w:rsidRPr="00A46DB2">
        <w:t>Action 2</w:t>
      </w:r>
      <w:r>
        <w:t>3 (All Agencies)</w:t>
      </w:r>
    </w:p>
    <w:p w14:paraId="3B1E0CAF" w14:textId="77777777" w:rsidR="002C5911" w:rsidRPr="001A564A" w:rsidRDefault="002C5911" w:rsidP="002C5911">
      <w:pPr>
        <w:pStyle w:val="Tabletext"/>
        <w:rPr>
          <w:rFonts w:ascii="Arial" w:hAnsi="Arial"/>
          <w:sz w:val="24"/>
        </w:rPr>
      </w:pPr>
      <w:r w:rsidRPr="001A564A">
        <w:rPr>
          <w:rFonts w:ascii="Arial" w:hAnsi="Arial"/>
          <w:sz w:val="24"/>
        </w:rPr>
        <w:t>Agency employees that are responsible for performing web publishing duties complete formal training in web accessibility or demonstrate an appropriate level of understanding relating to the principals of web accessibility</w:t>
      </w:r>
      <w:r>
        <w:rPr>
          <w:rFonts w:ascii="Arial" w:hAnsi="Arial"/>
          <w:sz w:val="24"/>
        </w:rPr>
        <w:t>.</w:t>
      </w:r>
    </w:p>
    <w:p w14:paraId="0AD95890" w14:textId="77777777" w:rsidR="002C5911" w:rsidRPr="00A46DB2" w:rsidRDefault="002C5911" w:rsidP="002C5911">
      <w:pPr>
        <w:pStyle w:val="Title"/>
      </w:pPr>
      <w:r w:rsidRPr="00A46DB2">
        <w:t>Action 2</w:t>
      </w:r>
      <w:r>
        <w:t>3</w:t>
      </w:r>
      <w:r w:rsidRPr="00A46DB2">
        <w:t xml:space="preserve">: Measurable Target </w:t>
      </w:r>
    </w:p>
    <w:p w14:paraId="4F274EA0" w14:textId="77777777" w:rsidR="002C5911" w:rsidRPr="00BD3AA2" w:rsidRDefault="002C5911" w:rsidP="002C5911">
      <w:pPr>
        <w:pStyle w:val="Tablereflist"/>
        <w:numPr>
          <w:ilvl w:val="0"/>
          <w:numId w:val="0"/>
        </w:numPr>
        <w:spacing w:line="259" w:lineRule="auto"/>
        <w:rPr>
          <w:rFonts w:ascii="Arial" w:hAnsi="Arial"/>
          <w:sz w:val="24"/>
        </w:rPr>
      </w:pPr>
      <w:r w:rsidRPr="00BD3AA2">
        <w:rPr>
          <w:rFonts w:ascii="Arial" w:hAnsi="Arial"/>
          <w:sz w:val="24"/>
        </w:rPr>
        <w:t>The number of employees that have completed this training.</w:t>
      </w:r>
    </w:p>
    <w:p w14:paraId="444653C2" w14:textId="77777777" w:rsidR="002C5911" w:rsidRDefault="002C5911"/>
    <w:sectPr w:rsidR="002C5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E63A8"/>
    <w:multiLevelType w:val="hybridMultilevel"/>
    <w:tmpl w:val="182CB36E"/>
    <w:lvl w:ilvl="0" w:tplc="3928275A">
      <w:start w:val="1"/>
      <w:numFmt w:val="bullet"/>
      <w:pStyle w:val="Tablereflist"/>
      <w:lvlText w:val=""/>
      <w:lvlJc w:val="left"/>
      <w:pPr>
        <w:ind w:left="56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P+HTX4WS81NbK/uQKb8F0dbf0Mrq5cz8JikhGQE8Mg2kjuVx5742VLbwjrfgDPS/K9I8SGbdFfvTwooJty+SBA==" w:salt="xwDQtv5GnVXXM/DHZw0r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F9"/>
    <w:rsid w:val="001D5DF9"/>
    <w:rsid w:val="0023703D"/>
    <w:rsid w:val="002C5911"/>
    <w:rsid w:val="00816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B447"/>
  <w15:chartTrackingRefBased/>
  <w15:docId w15:val="{04E28C60-742F-4681-94C3-1E3F67A7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911"/>
    <w:pPr>
      <w:spacing w:line="240" w:lineRule="auto"/>
    </w:pPr>
    <w:rPr>
      <w:rFonts w:ascii="Arial" w:eastAsia="Calibri" w:hAnsi="Arial" w:cs="Arial"/>
      <w:sz w:val="24"/>
      <w:szCs w:val="24"/>
    </w:rPr>
  </w:style>
  <w:style w:type="paragraph" w:styleId="Heading1">
    <w:name w:val="heading 1"/>
    <w:basedOn w:val="Normal"/>
    <w:next w:val="Normal"/>
    <w:link w:val="Heading1Char"/>
    <w:uiPriority w:val="9"/>
    <w:qFormat/>
    <w:rsid w:val="002C5911"/>
    <w:pPr>
      <w:keepNext/>
      <w:keepLines/>
      <w:spacing w:after="240"/>
      <w:outlineLvl w:val="0"/>
    </w:pPr>
    <w:rPr>
      <w:rFonts w:eastAsiaTheme="maj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911"/>
    <w:rPr>
      <w:rFonts w:ascii="Arial" w:eastAsiaTheme="majorEastAsia" w:hAnsi="Arial" w:cs="Arial"/>
      <w:b/>
      <w:bCs/>
      <w:sz w:val="36"/>
      <w:szCs w:val="36"/>
    </w:rPr>
  </w:style>
  <w:style w:type="paragraph" w:styleId="ListParagraph">
    <w:name w:val="List Paragraph"/>
    <w:basedOn w:val="Normal"/>
    <w:link w:val="ListParagraphChar"/>
    <w:uiPriority w:val="34"/>
    <w:qFormat/>
    <w:rsid w:val="002C5911"/>
    <w:pPr>
      <w:ind w:left="720"/>
      <w:contextualSpacing/>
    </w:pPr>
  </w:style>
  <w:style w:type="character" w:customStyle="1" w:styleId="ListParagraphChar">
    <w:name w:val="List Paragraph Char"/>
    <w:basedOn w:val="DefaultParagraphFont"/>
    <w:link w:val="ListParagraph"/>
    <w:uiPriority w:val="34"/>
    <w:rsid w:val="002C5911"/>
    <w:rPr>
      <w:rFonts w:ascii="Arial" w:eastAsia="Calibri" w:hAnsi="Arial" w:cs="Arial"/>
      <w:sz w:val="24"/>
      <w:szCs w:val="24"/>
    </w:rPr>
  </w:style>
  <w:style w:type="paragraph" w:customStyle="1" w:styleId="Tabletext">
    <w:name w:val="Table text"/>
    <w:basedOn w:val="Normal"/>
    <w:qFormat/>
    <w:rsid w:val="002C5911"/>
    <w:pPr>
      <w:spacing w:after="0"/>
    </w:pPr>
    <w:rPr>
      <w:rFonts w:asciiTheme="minorHAnsi" w:eastAsia="Times New Roman" w:hAnsiTheme="minorHAnsi"/>
      <w:sz w:val="22"/>
    </w:rPr>
  </w:style>
  <w:style w:type="paragraph" w:customStyle="1" w:styleId="Tablereflist">
    <w:name w:val="Table ref list"/>
    <w:basedOn w:val="ListParagraph"/>
    <w:qFormat/>
    <w:rsid w:val="002C5911"/>
    <w:pPr>
      <w:numPr>
        <w:numId w:val="1"/>
      </w:numPr>
      <w:tabs>
        <w:tab w:val="left" w:pos="284"/>
        <w:tab w:val="num" w:pos="360"/>
      </w:tabs>
      <w:spacing w:after="0"/>
      <w:ind w:left="284" w:hanging="284"/>
    </w:pPr>
    <w:rPr>
      <w:rFonts w:asciiTheme="minorHAnsi" w:eastAsia="Times New Roman" w:hAnsiTheme="minorHAnsi"/>
      <w:sz w:val="22"/>
    </w:rPr>
  </w:style>
  <w:style w:type="paragraph" w:styleId="Title">
    <w:name w:val="Title"/>
    <w:basedOn w:val="Normal"/>
    <w:next w:val="Normal"/>
    <w:link w:val="TitleChar"/>
    <w:uiPriority w:val="10"/>
    <w:qFormat/>
    <w:rsid w:val="002C5911"/>
    <w:pPr>
      <w:spacing w:before="240" w:after="240"/>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C5911"/>
    <w:rPr>
      <w:rFonts w:ascii="Arial" w:eastAsiaTheme="majorEastAsia" w:hAnsi="Arial"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3445</Characters>
  <Application>Microsoft Office Word</Application>
  <DocSecurity>8</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Roomes</dc:creator>
  <cp:keywords/>
  <dc:description/>
  <cp:lastModifiedBy>Joanne Roomes</cp:lastModifiedBy>
  <cp:revision>3</cp:revision>
  <cp:lastPrinted>2020-10-26T05:43:00Z</cp:lastPrinted>
  <dcterms:created xsi:type="dcterms:W3CDTF">2020-10-26T04:39:00Z</dcterms:created>
  <dcterms:modified xsi:type="dcterms:W3CDTF">2020-10-26T05:44:00Z</dcterms:modified>
</cp:coreProperties>
</file>